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8D6" w:rsidR="00EE78D6" w:rsidP="00526483" w:rsidRDefault="003327F3" w14:paraId="585A8B6D" w14:textId="2B071036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D4E7D" w:rsidR="00B15AD4">
        <w:rPr>
          <w:rFonts w:ascii="Century Gothic" w:hAnsi="Century Gothic"/>
          <w:b/>
          <w:bCs/>
          <w:sz w:val="24"/>
          <w:szCs w:val="24"/>
        </w:rPr>
        <w:t>Bachelor of Commerce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24A3AB71" w14:textId="77777777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:rsidR="00EE78D6" w:rsidP="006E23DC" w:rsidRDefault="00346DA1" w14:paraId="35F4D589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CB0A730" w14:textId="49631424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Pr="00DD4E7D" w:rsidR="00DC0780">
        <w:t>–</w:t>
      </w:r>
      <w:r w:rsidR="00762FB2">
        <w:t xml:space="preserve"> </w:t>
      </w:r>
      <w:r w:rsidR="004C5D79">
        <w:rPr>
          <w:b/>
          <w:bCs/>
        </w:rPr>
        <w:t>Business Economics</w:t>
      </w:r>
      <w:r w:rsidR="00DC0780">
        <w:rPr>
          <w:color w:val="231F20"/>
        </w:rPr>
        <w:tab/>
      </w:r>
    </w:p>
    <w:p w:rsidR="00DC0780" w:rsidP="006E23DC" w:rsidRDefault="006E23DC" w14:paraId="700A9BAD" w14:textId="6EC6B463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:rsidR="00232219" w:rsidP="006E23DC" w:rsidRDefault="00232219" w14:paraId="62032160" w14:textId="77777777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:rsidRPr="00FA48FC" w:rsidR="004C07D5" w:rsidP="006E23DC" w:rsidRDefault="004C07D5" w14:paraId="1C843082" w14:textId="77777777">
      <w:pPr>
        <w:pStyle w:val="Heading2"/>
        <w:spacing w:line="244" w:lineRule="exact"/>
        <w:rPr>
          <w:b/>
          <w:bCs/>
          <w:color w:val="231F20"/>
        </w:rPr>
      </w:pPr>
    </w:p>
    <w:p w:rsidRPr="00B20157" w:rsidR="006358AE" w:rsidP="006358AE" w:rsidRDefault="006358AE" w14:paraId="5A55E680" w14:textId="70057B01">
      <w:pPr>
        <w:pStyle w:val="BodyText"/>
        <w:spacing w:before="11"/>
        <w:rPr>
          <w:b w:val="1"/>
          <w:bCs w:val="1"/>
          <w:color w:val="231F20"/>
          <w:sz w:val="20"/>
          <w:szCs w:val="20"/>
          <w:lang w:val="en-AU"/>
        </w:rPr>
      </w:pPr>
      <w:r w:rsidRPr="11089806" w:rsidR="006358AE">
        <w:rPr>
          <w:b w:val="1"/>
          <w:bCs w:val="1"/>
          <w:color w:val="231F20"/>
          <w:sz w:val="20"/>
          <w:szCs w:val="20"/>
        </w:rPr>
        <w:t xml:space="preserve">This plan is for students who have passed </w:t>
      </w:r>
      <w:r w:rsidRPr="11089806" w:rsidR="006358AE">
        <w:rPr>
          <w:b w:val="1"/>
          <w:bCs w:val="1"/>
          <w:color w:val="231F20"/>
          <w:sz w:val="20"/>
          <w:szCs w:val="20"/>
        </w:rPr>
        <w:t xml:space="preserve">Mathematics Methods </w:t>
      </w:r>
      <w:r w:rsidRPr="11089806" w:rsidR="006358AE">
        <w:rPr>
          <w:b w:val="1"/>
          <w:bCs w:val="1"/>
          <w:color w:val="231F20"/>
          <w:sz w:val="20"/>
          <w:szCs w:val="20"/>
        </w:rPr>
        <w:t xml:space="preserve">ATAR or equivalent. </w:t>
      </w:r>
      <w:r w:rsidRPr="11089806" w:rsidR="006358AE">
        <w:rPr>
          <w:b w:val="1"/>
          <w:bCs w:val="1"/>
          <w:color w:val="231F20"/>
          <w:sz w:val="20"/>
          <w:szCs w:val="20"/>
        </w:rPr>
        <w:t xml:space="preserve">Please contact your student </w:t>
      </w:r>
      <w:r w:rsidRPr="11089806" w:rsidR="006358AE">
        <w:rPr>
          <w:b w:val="1"/>
          <w:bCs w:val="1"/>
          <w:color w:val="231F20"/>
          <w:sz w:val="20"/>
          <w:szCs w:val="20"/>
        </w:rPr>
        <w:t>advising office to</w:t>
      </w:r>
      <w:r w:rsidRPr="11089806" w:rsidR="006358AE">
        <w:rPr>
          <w:b w:val="1"/>
          <w:bCs w:val="1"/>
          <w:color w:val="231F20"/>
          <w:sz w:val="20"/>
          <w:szCs w:val="20"/>
        </w:rPr>
        <w:t xml:space="preserve"> find out if you need to complete bridging units</w:t>
      </w:r>
      <w:r w:rsidRPr="11089806" w:rsidR="6B979698">
        <w:rPr>
          <w:b w:val="1"/>
          <w:bCs w:val="1"/>
          <w:color w:val="231F20"/>
          <w:sz w:val="20"/>
          <w:szCs w:val="20"/>
        </w:rPr>
        <w:t xml:space="preserve"> </w:t>
      </w:r>
      <w:r w:rsidRPr="11089806" w:rsidR="006358AE">
        <w:rPr>
          <w:b w:val="1"/>
          <w:bCs w:val="1"/>
          <w:color w:val="231F20"/>
          <w:sz w:val="20"/>
          <w:szCs w:val="20"/>
        </w:rPr>
        <w:t xml:space="preserve">MATH1720: </w:t>
      </w:r>
      <w:r w:rsidRPr="11089806" w:rsidR="006358AE">
        <w:rPr>
          <w:b w:val="1"/>
          <w:bCs w:val="1"/>
          <w:color w:val="231F20"/>
          <w:sz w:val="20"/>
          <w:szCs w:val="20"/>
          <w:lang w:val="en-AU"/>
        </w:rPr>
        <w:t xml:space="preserve">Mathematics Fundamentals </w:t>
      </w:r>
      <w:r w:rsidRPr="11089806" w:rsidR="006358AE">
        <w:rPr>
          <w:b w:val="1"/>
          <w:bCs w:val="1"/>
          <w:color w:val="231F20"/>
          <w:sz w:val="20"/>
          <w:szCs w:val="20"/>
          <w:lang w:val="en-AU"/>
        </w:rPr>
        <w:t xml:space="preserve">&amp; ECON1111: Quantitative Methods for Business and Economics. </w:t>
      </w:r>
    </w:p>
    <w:p w:rsidR="00D428B4" w:rsidRDefault="00D428B4" w14:paraId="2D243E83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:rsidTr="0074386C" w14:paraId="20F6E2FB" w14:textId="77777777">
        <w:trPr>
          <w:cantSplit/>
          <w:trHeight w:val="735"/>
        </w:trPr>
        <w:tc>
          <w:tcPr>
            <w:tcW w:w="400" w:type="dxa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526483" w:rsidR="006B14AA" w:rsidP="00526483" w:rsidRDefault="00526483" w14:paraId="627EEAE0" w14:textId="77777777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:rsidRPr="002B7812" w:rsidR="0047701D" w:rsidP="006B14AA" w:rsidRDefault="0047701D" w14:paraId="3A057190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6B14AA" w:rsidP="006B14AA" w:rsidRDefault="006B14AA" w14:paraId="7DE26126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4C5D79" w:rsidP="004C5D79" w:rsidRDefault="004C5D79" w14:paraId="28222A62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:rsidRPr="0074386C" w:rsidR="00526483" w:rsidP="004C5D79" w:rsidRDefault="004C5D79" w14:paraId="0D3A8183" w14:textId="41C0BB08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4C5D79" w:rsidP="004C5D79" w:rsidRDefault="004C5D79" w14:paraId="65BBE06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:rsidRPr="0074386C" w:rsidR="00EE78D6" w:rsidP="004C5D79" w:rsidRDefault="004C5D79" w14:paraId="186CE743" w14:textId="739C9F37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826D1B" w:rsidP="00826D1B" w:rsidRDefault="00826D1B" w14:paraId="5F8A1D40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ACCT1101</w:t>
            </w:r>
          </w:p>
          <w:p w:rsidRPr="0074386C" w:rsidR="00EE78D6" w:rsidP="00826D1B" w:rsidRDefault="00826D1B" w14:paraId="3F107108" w14:textId="50911942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F272B9" w:rsidP="00765432" w:rsidRDefault="00850F82" w14:paraId="7881A72A" w14:textId="728A12C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74386C" w14:paraId="3575B427" w14:textId="77777777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3A6E803D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AD537F" w14:paraId="3C3A81D2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4E0D88" w:rsidP="004E0D88" w:rsidRDefault="004C5D79" w14:paraId="3E962BE3" w14:textId="73E71F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ECON1102</w:t>
            </w:r>
          </w:p>
          <w:p w:rsidRPr="0074386C" w:rsidR="00526483" w:rsidP="004E0D88" w:rsidRDefault="004C5D79" w14:paraId="37F5ABF1" w14:textId="334B93F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Macroeconomics: Money and Finance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5304EE" w14:paraId="66D21484" w14:textId="6316A3E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</w:t>
            </w:r>
            <w:r w:rsidRPr="0074386C" w:rsidR="00B0371B">
              <w:rPr>
                <w:b/>
                <w:sz w:val="20"/>
                <w:szCs w:val="20"/>
              </w:rPr>
              <w:t>1520</w:t>
            </w:r>
          </w:p>
          <w:p w:rsidRPr="0074386C" w:rsidR="008B159E" w:rsidP="00765432" w:rsidRDefault="00B0371B" w14:paraId="2469EF3C" w14:textId="08ACD42E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826D1B" w:rsidP="00826D1B" w:rsidRDefault="00826D1B" w14:paraId="719D9F7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:rsidRPr="0074386C" w:rsidR="008B159E" w:rsidP="00826D1B" w:rsidRDefault="00826D1B" w14:paraId="4BBDF67C" w14:textId="46FBC145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765432" w:rsidRDefault="00850F82" w14:paraId="604796EC" w14:textId="550FD8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0D417F" w14:paraId="20F7A0B9" w14:textId="77777777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7F8CFC87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5EC0C85E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B64078" w:rsidP="00F4175C" w:rsidRDefault="001F5E27" w14:paraId="6DEF4A4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ECON2234</w:t>
            </w:r>
          </w:p>
          <w:p w:rsidRPr="001F5E27" w:rsidR="001F5E27" w:rsidP="00F4175C" w:rsidRDefault="001F5E27" w14:paraId="068CDEA8" w14:textId="0BB355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Macroeconomics: Policy and </w:t>
            </w:r>
            <w:r w:rsidR="00A7314F">
              <w:rPr>
                <w:bCs/>
                <w:sz w:val="20"/>
                <w:szCs w:val="20"/>
              </w:rPr>
              <w:t>Applications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D87584" w:rsidRDefault="001A635F" w14:paraId="5F3848A9" w14:textId="128266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2FD198BB" w14:textId="2E3153C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391CCD2A" w14:textId="5E62477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053942" w14:paraId="10810E7E" w14:textId="77777777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AD537F" w:rsidR="00AD537F" w:rsidP="00AD537F" w:rsidRDefault="00AD537F" w14:paraId="56DD923A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0D3F9DAE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A7314F" w:rsidP="00A7314F" w:rsidRDefault="00A7314F" w14:paraId="0BDCD311" w14:textId="165D94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ECON2233</w:t>
            </w:r>
          </w:p>
          <w:p w:rsidRPr="0074386C" w:rsidR="00526483" w:rsidP="00A7314F" w:rsidRDefault="00A7314F" w14:paraId="6EACD3DF" w14:textId="690C76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Microeconomics: Policy and Applications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AD537F" w:rsidP="00AD537F" w:rsidRDefault="003651D2" w14:paraId="48AE80C4" w14:textId="1021B9F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Business </w:t>
            </w:r>
            <w:r w:rsidR="003B17C8">
              <w:rPr>
                <w:b/>
                <w:sz w:val="20"/>
                <w:szCs w:val="20"/>
              </w:rPr>
              <w:t>Economics Level 2</w:t>
            </w:r>
            <w:r w:rsidR="002C71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</w:t>
            </w:r>
            <w:r w:rsidR="002C71A2"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22C83365" w14:textId="68765A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0D417F" w14:paraId="43182645" w14:textId="160BD1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053942" w14:paraId="6624033C" w14:textId="77777777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:rsidRPr="00983B47" w:rsidR="00AD537F" w:rsidP="003C5DEE" w:rsidRDefault="00AD537F" w14:paraId="4215C10E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579C024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826353" w:rsidR="009B6B7E" w:rsidP="00B6035E" w:rsidRDefault="003651D2" w14:paraId="5CC0AE53" w14:textId="747DDEB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Business </w:t>
            </w:r>
            <w:r w:rsidR="00053942">
              <w:rPr>
                <w:b/>
                <w:sz w:val="20"/>
                <w:szCs w:val="20"/>
              </w:rPr>
              <w:t>Economics</w:t>
            </w:r>
            <w:r w:rsidR="005306B3">
              <w:rPr>
                <w:b/>
                <w:sz w:val="20"/>
                <w:szCs w:val="20"/>
              </w:rPr>
              <w:t xml:space="preserve"> </w:t>
            </w:r>
            <w:r w:rsidR="00053942">
              <w:rPr>
                <w:b/>
                <w:sz w:val="20"/>
                <w:szCs w:val="20"/>
              </w:rPr>
              <w:t xml:space="preserve">Level 3 </w:t>
            </w:r>
            <w:r>
              <w:rPr>
                <w:b/>
                <w:sz w:val="20"/>
                <w:szCs w:val="20"/>
              </w:rPr>
              <w:t>O</w:t>
            </w:r>
            <w:r w:rsidR="00053942"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053942" w14:paraId="1BF0EE30" w14:textId="6C0D64B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79B4F3F" w14:textId="7B4C42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173EFAB1" w14:textId="422789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526483" w:rsidTr="007A4DD9" w14:paraId="5EA6C538" w14:textId="77777777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Pr="00526483" w:rsidR="00526483" w:rsidP="00526483" w:rsidRDefault="00526483" w14:paraId="0E9CF1B6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526483" w:rsidP="00AD537F" w:rsidRDefault="00526483" w14:paraId="35F18F96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B054EE" w:rsidR="00B85347" w:rsidP="00790FF7" w:rsidRDefault="003651D2" w14:paraId="301934E7" w14:textId="11A0DD5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Business </w:t>
            </w:r>
            <w:r w:rsidR="00053942">
              <w:rPr>
                <w:b/>
                <w:sz w:val="20"/>
                <w:szCs w:val="20"/>
              </w:rPr>
              <w:t xml:space="preserve">Economics Level 3 </w:t>
            </w:r>
            <w:r>
              <w:rPr>
                <w:b/>
                <w:sz w:val="20"/>
                <w:szCs w:val="20"/>
              </w:rPr>
              <w:t>O</w:t>
            </w:r>
            <w:r w:rsidR="00053942"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B054EE" w:rsidR="00526483" w:rsidP="00B85347" w:rsidRDefault="003651D2" w14:paraId="6C76BF9F" w14:textId="4441560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Business </w:t>
            </w:r>
            <w:r w:rsidR="00053942">
              <w:rPr>
                <w:b/>
                <w:sz w:val="20"/>
                <w:szCs w:val="20"/>
              </w:rPr>
              <w:t xml:space="preserve">Economics Level 3 </w:t>
            </w:r>
            <w:r>
              <w:rPr>
                <w:b/>
                <w:sz w:val="20"/>
                <w:szCs w:val="20"/>
              </w:rPr>
              <w:t>O</w:t>
            </w:r>
            <w:r w:rsidR="00053942"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B054EE" w:rsidR="006F26CA" w:rsidP="00790FF7" w:rsidRDefault="007A4DD9" w14:paraId="4E8725F1" w14:textId="1A317A2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526483" w:rsidP="00790FF7" w:rsidRDefault="00850F82" w14:paraId="3C71390F" w14:textId="40811B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:rsidR="00367CDF" w:rsidP="00B61BFB" w:rsidRDefault="00367CDF" w14:paraId="3EE8EE3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09071A35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2532FF" w:rsidP="00964A20" w:rsidRDefault="002532FF" w14:paraId="70852A82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:rsidRPr="002532FF" w:rsidR="00C54E3A" w:rsidP="11089806" w:rsidRDefault="00C54E3A" w14:paraId="3FBCB37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 w:val="1"/>
          <w:bCs w:val="1"/>
          <w:sz w:val="18"/>
          <w:szCs w:val="18"/>
        </w:rPr>
      </w:pPr>
      <w:r w:rsidRPr="11089806" w:rsidR="00C54E3A">
        <w:rPr>
          <w:b w:val="1"/>
          <w:bCs w:val="1"/>
          <w:sz w:val="18"/>
          <w:szCs w:val="18"/>
        </w:rPr>
        <w:t>Review your bridging unit requirements</w:t>
      </w:r>
    </w:p>
    <w:p w:rsidRPr="00964A20" w:rsidR="00964A20" w:rsidP="00964A20" w:rsidRDefault="0089117F" w14:paraId="453DA7FC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w:history="1" r:id="rId11">
        <w:r w:rsidRPr="00964A20">
          <w:rPr>
            <w:rStyle w:val="Hyperlink"/>
            <w:sz w:val="18"/>
            <w:szCs w:val="18"/>
          </w:rPr>
          <w:t>Handbook</w:t>
        </w:r>
      </w:hyperlink>
    </w:p>
    <w:p w:rsidRPr="00964A20" w:rsidR="00673483" w:rsidP="00964A20" w:rsidRDefault="00673483" w14:paraId="69623A86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:rsidR="00673483" w:rsidP="00673483" w:rsidRDefault="00673483" w14:paraId="786C078F" w14:textId="77777777">
      <w:pPr>
        <w:rPr>
          <w:sz w:val="16"/>
          <w:szCs w:val="16"/>
        </w:rPr>
      </w:pPr>
    </w:p>
    <w:p w:rsidR="00964A20" w:rsidP="00964A20" w:rsidRDefault="00673483" w14:paraId="636AF3D4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526483" w:rsidR="008C6531" w:rsidP="00526483" w:rsidRDefault="00746B89" w14:paraId="19190806" w14:textId="6D3B1837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Pr="00964A20" w:rsidR="0089117F">
        <w:rPr>
          <w:sz w:val="18"/>
          <w:szCs w:val="18"/>
        </w:rPr>
        <w:t xml:space="preserve"> on </w:t>
      </w:r>
      <w:hyperlink w:history="1" r:id="rId12">
        <w:r w:rsidRPr="00964A20" w:rsidR="004F19AF">
          <w:rPr>
            <w:rStyle w:val="Hyperlink"/>
            <w:sz w:val="18"/>
            <w:szCs w:val="18"/>
          </w:rPr>
          <w:t>S</w:t>
        </w:r>
        <w:r w:rsidRPr="00964A20" w:rsidR="0089117F">
          <w:rPr>
            <w:rStyle w:val="Hyperlink"/>
            <w:sz w:val="18"/>
            <w:szCs w:val="18"/>
          </w:rPr>
          <w:t>tudent</w:t>
        </w:r>
        <w:r w:rsidRPr="00964A20" w:rsidR="004F19AF">
          <w:rPr>
            <w:rStyle w:val="Hyperlink"/>
            <w:sz w:val="18"/>
            <w:szCs w:val="18"/>
          </w:rPr>
          <w:t xml:space="preserve"> </w:t>
        </w:r>
        <w:r w:rsidRPr="00964A20" w:rsidR="0089117F">
          <w:rPr>
            <w:rStyle w:val="Hyperlink"/>
            <w:sz w:val="18"/>
            <w:szCs w:val="18"/>
          </w:rPr>
          <w:t>Connect</w:t>
        </w:r>
      </w:hyperlink>
      <w:r w:rsidRPr="00964A20" w:rsidR="0089117F">
        <w:rPr>
          <w:sz w:val="18"/>
          <w:szCs w:val="18"/>
        </w:rPr>
        <w:t xml:space="preserve"> and plan your timetable on the </w:t>
      </w:r>
      <w:hyperlink w:history="1" r:id="rId13">
        <w:r w:rsidRPr="00964A20" w:rsidR="0089117F">
          <w:rPr>
            <w:rStyle w:val="Hyperlink"/>
            <w:sz w:val="18"/>
            <w:szCs w:val="18"/>
          </w:rPr>
          <w:t>Class Allocation System (CAS)</w:t>
        </w:r>
      </w:hyperlink>
    </w:p>
    <w:sectPr w:rsidRPr="00526483" w:rsidR="008C6531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0CA0" w:rsidRDefault="00860CA0" w14:paraId="62E5B2C2" w14:textId="77777777">
      <w:r>
        <w:separator/>
      </w:r>
    </w:p>
  </w:endnote>
  <w:endnote w:type="continuationSeparator" w:id="0">
    <w:p w:rsidR="00860CA0" w:rsidRDefault="00860CA0" w14:paraId="3E8B2BA7" w14:textId="77777777">
      <w:r>
        <w:continuationSeparator/>
      </w:r>
    </w:p>
  </w:endnote>
  <w:endnote w:type="continuationNotice" w:id="1">
    <w:p w:rsidR="00860CA0" w:rsidRDefault="00860CA0" w14:paraId="077101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6AF9487D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785ED0A7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687790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0CA0" w:rsidRDefault="00860CA0" w14:paraId="1776C9EA" w14:textId="77777777">
      <w:r>
        <w:separator/>
      </w:r>
    </w:p>
  </w:footnote>
  <w:footnote w:type="continuationSeparator" w:id="0">
    <w:p w:rsidR="00860CA0" w:rsidRDefault="00860CA0" w14:paraId="27A21293" w14:textId="77777777">
      <w:r>
        <w:continuationSeparator/>
      </w:r>
    </w:p>
  </w:footnote>
  <w:footnote w:type="continuationNotice" w:id="1">
    <w:p w:rsidR="00860CA0" w:rsidRDefault="00860CA0" w14:paraId="55DD704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73483" w:rsidRDefault="00526483" w14:paraId="65422E6A" w14:textId="7777777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6A7ED0" wp14:editId="118FD8F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502A356D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7E507142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6A7ED0">
              <v:stroke joinstyle="miter"/>
              <v:path gradientshapeok="t" o:connecttype="rect"/>
            </v:shapetype>
            <v:shape id="Text Box 83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>
              <v:textbox inset="0,0,0,0">
                <w:txbxContent>
                  <w:p w:rsidRPr="00EE78D6" w:rsidR="00673483" w:rsidRDefault="00673483" w14:paraId="502A356D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7E507142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9528BE" w:rsidR="003C507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8348AE" wp14:editId="058829F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369611AF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w14:anchorId="568348AE">
              <v:textbox style="mso-fit-shape-to-text:t">
                <w:txbxContent>
                  <w:p w:rsidRPr="00531310" w:rsidR="003C5075" w:rsidP="003C5075" w:rsidRDefault="003C5075" w14:paraId="369611AF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BE6150" wp14:editId="49A81493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60288;mso-position-horizontal-relative:margin;mso-width-relative:margin;mso-height-relative:margin" coordsize="19958,6553" o:spid="_x0000_s1026" w14:anchorId="0AB763B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3942"/>
    <w:rsid w:val="00057BF2"/>
    <w:rsid w:val="000600A2"/>
    <w:rsid w:val="00064F9C"/>
    <w:rsid w:val="000841D3"/>
    <w:rsid w:val="00091CFF"/>
    <w:rsid w:val="00095393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4C9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5E27"/>
    <w:rsid w:val="001F717F"/>
    <w:rsid w:val="002001A3"/>
    <w:rsid w:val="00201615"/>
    <w:rsid w:val="00204FBD"/>
    <w:rsid w:val="00210213"/>
    <w:rsid w:val="002108B2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97D7E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51D2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5D79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6B3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358AE"/>
    <w:rsid w:val="00641FD2"/>
    <w:rsid w:val="0064777A"/>
    <w:rsid w:val="00647D19"/>
    <w:rsid w:val="0065083F"/>
    <w:rsid w:val="0065156E"/>
    <w:rsid w:val="006546C6"/>
    <w:rsid w:val="00654FEC"/>
    <w:rsid w:val="006603C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2FB2"/>
    <w:rsid w:val="007646CE"/>
    <w:rsid w:val="00765432"/>
    <w:rsid w:val="00766AF5"/>
    <w:rsid w:val="007672BC"/>
    <w:rsid w:val="007715C5"/>
    <w:rsid w:val="00774AC8"/>
    <w:rsid w:val="007827B3"/>
    <w:rsid w:val="007901D1"/>
    <w:rsid w:val="00790274"/>
    <w:rsid w:val="00790E29"/>
    <w:rsid w:val="00790FF7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0CA0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175A3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83E"/>
    <w:rsid w:val="00B15AD4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53B9"/>
    <w:rsid w:val="00B67D35"/>
    <w:rsid w:val="00B67F0D"/>
    <w:rsid w:val="00B7024E"/>
    <w:rsid w:val="00B708A9"/>
    <w:rsid w:val="00B801C8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D7BA8"/>
    <w:rsid w:val="00CE1675"/>
    <w:rsid w:val="00CE4266"/>
    <w:rsid w:val="00CE4716"/>
    <w:rsid w:val="00CE4F16"/>
    <w:rsid w:val="00CE6A34"/>
    <w:rsid w:val="00CE6A39"/>
    <w:rsid w:val="00CF0793"/>
    <w:rsid w:val="00CF1223"/>
    <w:rsid w:val="00CF5F10"/>
    <w:rsid w:val="00CF7865"/>
    <w:rsid w:val="00CF7A7E"/>
    <w:rsid w:val="00D000FA"/>
    <w:rsid w:val="00D049A1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0F4C"/>
    <w:rsid w:val="00F61220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0FF6B7F"/>
    <w:rsid w:val="11089806"/>
    <w:rsid w:val="6B979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7F06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wa.edu.au/students/My-course/Class-timetabl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0B50-A861-4D5B-B572-5EDEF9A46131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Laura George</cp:lastModifiedBy>
  <cp:revision>15</cp:revision>
  <cp:lastPrinted>2020-11-18T23:36:00Z</cp:lastPrinted>
  <dcterms:created xsi:type="dcterms:W3CDTF">2025-06-11T04:23:00Z</dcterms:created>
  <dcterms:modified xsi:type="dcterms:W3CDTF">2025-06-26T00:32:02Z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